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b/>
          <w:bCs/>
          <w:color w:val="auto"/>
          <w:sz w:val="32"/>
          <w:szCs w:val="32"/>
          <w:lang w:eastAsia="zh-CN"/>
        </w:rPr>
      </w:pPr>
      <w:bookmarkStart w:id="0" w:name="_Toc10889"/>
      <w:bookmarkStart w:id="1" w:name="_Toc3081"/>
      <w:bookmarkStart w:id="2" w:name="_Toc19542"/>
      <w:r>
        <w:rPr>
          <w:rFonts w:hint="eastAsia" w:ascii="黑体" w:hAnsi="黑体" w:eastAsia="黑体" w:cs="黑体"/>
          <w:b/>
          <w:bCs/>
          <w:color w:val="auto"/>
          <w:sz w:val="32"/>
          <w:szCs w:val="32"/>
          <w:lang w:eastAsia="zh-CN"/>
        </w:rPr>
        <w:t>国家林业局森林公园工程技术研究中心</w:t>
      </w:r>
      <w:bookmarkEnd w:id="0"/>
      <w:bookmarkStart w:id="3" w:name="_Toc18153"/>
    </w:p>
    <w:p>
      <w:pPr>
        <w:pStyle w:val="2"/>
        <w:bidi w:val="0"/>
        <w:rPr>
          <w:rFonts w:hint="eastAsia"/>
          <w:color w:val="auto"/>
          <w:lang w:eastAsia="zh-CN"/>
        </w:rPr>
      </w:pPr>
      <w:bookmarkStart w:id="4" w:name="_Toc31684"/>
      <w:r>
        <w:rPr>
          <w:rFonts w:hint="eastAsia"/>
          <w:color w:val="auto"/>
          <w:lang w:val="en-US" w:eastAsia="zh-CN"/>
        </w:rPr>
        <w:t>中长期发展规划（2018-2022）</w:t>
      </w:r>
      <w:bookmarkEnd w:id="1"/>
      <w:bookmarkEnd w:id="2"/>
      <w:bookmarkEnd w:id="3"/>
      <w:bookmarkEnd w:id="4"/>
      <w:bookmarkStart w:id="9" w:name="_GoBack"/>
      <w:bookmarkEnd w:id="9"/>
    </w:p>
    <w:p>
      <w:pPr>
        <w:numPr>
          <w:ilvl w:val="0"/>
          <w:numId w:val="0"/>
        </w:numPr>
        <w:ind w:leftChars="0"/>
        <w:jc w:val="center"/>
        <w:rPr>
          <w:rFonts w:hint="eastAsia" w:ascii="黑体" w:hAnsi="黑体" w:eastAsia="黑体" w:cs="黑体"/>
          <w:b/>
          <w:bCs/>
          <w:color w:val="auto"/>
          <w:lang w:val="en-US" w:eastAsia="zh-CN"/>
        </w:rPr>
      </w:pPr>
      <w:r>
        <w:rPr>
          <w:rFonts w:hint="eastAsia" w:ascii="黑体" w:hAnsi="黑体" w:eastAsia="黑体" w:cs="黑体"/>
          <w:b/>
          <w:bCs/>
          <w:color w:val="auto"/>
          <w:lang w:eastAsia="zh-CN"/>
        </w:rPr>
        <w:t xml:space="preserve">第一章 </w:t>
      </w:r>
      <w:r>
        <w:rPr>
          <w:rFonts w:hint="eastAsia" w:ascii="黑体" w:hAnsi="黑体" w:eastAsia="黑体" w:cs="黑体"/>
          <w:b/>
          <w:bCs/>
          <w:color w:val="auto"/>
          <w:lang w:val="en-US" w:eastAsia="zh-CN"/>
        </w:rPr>
        <w:t>总体</w:t>
      </w:r>
      <w:r>
        <w:rPr>
          <w:rFonts w:hint="eastAsia" w:ascii="黑体" w:hAnsi="黑体" w:eastAsia="黑体" w:cs="黑体"/>
          <w:b/>
          <w:bCs/>
          <w:color w:val="auto"/>
          <w:lang w:eastAsia="zh-CN"/>
        </w:rPr>
        <w:t>目标</w:t>
      </w:r>
    </w:p>
    <w:p>
      <w:pPr>
        <w:snapToGrid w:val="0"/>
        <w:spacing w:line="470" w:lineRule="atLeas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把“森林公园工程技术研究中心”建成具有完备的工程化开发条件、一流的人才队伍和管理水平的森林公园工程技术国家级研发中心、人才培养中心和技术辐射中心，总体研发水平国际领先。通过技术创新、工程化和技术集成，提高森林资源的调查和合理开发利用，把森林公园生态建设与森林旅游、林副产品开发等有机结合起来，大力提高森林公园的内在价值和生态服务功能，实现森林公园的永续经营。通过研究相关理论增强森林公园营建的理论指导；通过研究风景游憩林的营建模式来推广和规范风景林的建造模式；通过生态文化挖掘和生态旅游开发来丰富森林旅游的内容；通过研发具有高附加值的林副产品来增加森林公园的经济附加值；通过立法研究加快森林公园的立法步伐；通过建设森林公园工程技术研究中心网站，增进国内外以及海峡两岸森林公园领域的科研合作与学术交流。总之，通过国内外技术合作交流，协同攻关，突破森林公园产业化“瓶颈”，提供成熟配套的工程技术、装备和高增值效益的产品，培养高素质的森林公园工程技术和工程管理人才，大力提升森林公园工程化服务水平，促进科研成果快速转化、资源综合利用、产品高效生产，推动行业科技进步，并运用本中心工程技术优势，积极开展科技扶贫与援外工作。</w:t>
      </w:r>
    </w:p>
    <w:p>
      <w:pPr>
        <w:snapToGrid w:val="0"/>
        <w:spacing w:line="470" w:lineRule="atLeast"/>
        <w:jc w:val="both"/>
        <w:rPr>
          <w:rFonts w:hint="default" w:ascii="楷体_GB2312" w:hAnsi="宋体" w:eastAsia="楷体_GB2312"/>
          <w:b/>
          <w:bCs/>
          <w:color w:val="auto"/>
          <w:sz w:val="28"/>
          <w:szCs w:val="28"/>
          <w:lang w:val="en-US" w:eastAsia="zh-CN"/>
        </w:rPr>
      </w:pPr>
      <w:r>
        <w:rPr>
          <w:rFonts w:hint="default" w:ascii="楷体_GB2312" w:hAnsi="宋体" w:eastAsia="楷体_GB2312"/>
          <w:color w:val="auto"/>
          <w:sz w:val="28"/>
          <w:szCs w:val="28"/>
          <w:lang w:val="en-US" w:eastAsia="zh-CN"/>
        </w:rPr>
        <w:br w:type="page"/>
      </w:r>
    </w:p>
    <w:p>
      <w:pPr>
        <w:numPr>
          <w:ilvl w:val="0"/>
          <w:numId w:val="1"/>
        </w:numPr>
        <w:jc w:val="center"/>
        <w:rPr>
          <w:rFonts w:hint="eastAsia" w:ascii="黑体" w:hAnsi="黑体" w:eastAsia="黑体" w:cs="黑体"/>
          <w:b/>
          <w:bCs/>
          <w:color w:val="auto"/>
          <w:lang w:eastAsia="zh-CN"/>
        </w:rPr>
      </w:pPr>
      <w:r>
        <w:rPr>
          <w:rFonts w:hint="eastAsia" w:ascii="黑体" w:hAnsi="黑体" w:eastAsia="黑体" w:cs="黑体"/>
          <w:b/>
          <w:bCs/>
          <w:color w:val="auto"/>
          <w:lang w:eastAsia="zh-CN"/>
        </w:rPr>
        <w:t>具体目标</w:t>
      </w:r>
    </w:p>
    <w:p>
      <w:pPr>
        <w:bidi w:val="0"/>
        <w:rPr>
          <w:rFonts w:hint="eastAsia" w:ascii="楷体" w:hAnsi="楷体" w:eastAsia="楷体" w:cs="楷体"/>
          <w:b/>
          <w:bCs/>
          <w:color w:val="auto"/>
        </w:rPr>
      </w:pPr>
      <w:bookmarkStart w:id="5" w:name="_Toc361294381"/>
      <w:r>
        <w:rPr>
          <w:rFonts w:hint="eastAsia" w:ascii="楷体" w:hAnsi="楷体" w:eastAsia="楷体" w:cs="楷体"/>
          <w:b/>
          <w:bCs/>
          <w:color w:val="auto"/>
        </w:rPr>
        <w:t>（一）完善森林公园景观资源评价与保护体系</w:t>
      </w:r>
      <w:bookmarkEnd w:id="5"/>
      <w:r>
        <w:rPr>
          <w:rFonts w:hint="eastAsia" w:ascii="楷体" w:hAnsi="楷体" w:eastAsia="楷体" w:cs="楷体"/>
          <w:b/>
          <w:bCs/>
          <w:color w:val="auto"/>
        </w:rPr>
        <w:t>，合理开发森林公园资源</w:t>
      </w:r>
    </w:p>
    <w:p>
      <w:pPr>
        <w:snapToGrid w:val="0"/>
        <w:spacing w:line="470" w:lineRule="atLeas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森林公园的存在在于它拥有丰富多彩的生物资源和景观资源。只有对资源进行很好的保护, 森林公园才会持续发展, 不能把保护与开发利用两者截然对立起来。保护是为了使森林公园资源得到更为合理的持续利用。开发则是为了充分利用森林公园资源, 发挥它们的综合效益, 走以森林开发利用与资源保护相结合的良性循环道路。建立科学的森林公园景观评价体系与保护体系能够将森林公园景观资源保护最大限度合理化。</w:t>
      </w:r>
    </w:p>
    <w:p>
      <w:pPr>
        <w:bidi w:val="0"/>
        <w:rPr>
          <w:rFonts w:hint="eastAsia" w:ascii="楷体" w:hAnsi="楷体" w:eastAsia="楷体" w:cs="楷体"/>
          <w:b/>
          <w:bCs/>
          <w:color w:val="auto"/>
        </w:rPr>
      </w:pPr>
      <w:r>
        <w:rPr>
          <w:rFonts w:hint="eastAsia" w:ascii="楷体" w:hAnsi="楷体" w:eastAsia="楷体" w:cs="楷体"/>
          <w:b/>
          <w:bCs/>
          <w:color w:val="auto"/>
        </w:rPr>
        <w:t>（二）完善森林公园景观资源监测和合理开发模式，进一步加强对野生观赏资源的研发和推广</w:t>
      </w:r>
    </w:p>
    <w:p>
      <w:pPr>
        <w:snapToGrid w:val="0"/>
        <w:spacing w:line="470" w:lineRule="atLeas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森林公园中蕴藏着丰富的景观资源，尤其是许多宝贵的植物资源是森林公园的立足根本。定期开展森林景观资源的普查，开发有潜力的野生植物，研发新的植物品种对于提升森林公园物种多样性和充分发挥森林价值，提升科研水平有促进作用。</w:t>
      </w:r>
    </w:p>
    <w:p>
      <w:pPr>
        <w:numPr>
          <w:ilvl w:val="0"/>
          <w:numId w:val="2"/>
        </w:numPr>
        <w:bidi w:val="0"/>
        <w:rPr>
          <w:rFonts w:hint="eastAsia" w:ascii="楷体" w:hAnsi="楷体" w:eastAsia="楷体" w:cs="楷体"/>
          <w:b/>
          <w:bCs/>
          <w:color w:val="auto"/>
        </w:rPr>
      </w:pPr>
      <w:bookmarkStart w:id="6" w:name="_Toc361294383"/>
      <w:r>
        <w:rPr>
          <w:rFonts w:hint="eastAsia" w:ascii="楷体" w:hAnsi="楷体" w:eastAsia="楷体" w:cs="楷体"/>
          <w:b/>
          <w:bCs/>
          <w:color w:val="auto"/>
        </w:rPr>
        <w:t>以自然教育、森林康养为重点，拓展森林生态旅游开发模式</w:t>
      </w:r>
      <w:bookmarkEnd w:id="6"/>
    </w:p>
    <w:p>
      <w:pPr>
        <w:snapToGrid w:val="0"/>
        <w:spacing w:line="470" w:lineRule="atLeast"/>
        <w:ind w:firstLine="560" w:firstLineChars="200"/>
        <w:rPr>
          <w:rFonts w:hint="eastAsia" w:ascii="楷体_GB2312" w:hAnsi="宋体" w:eastAsia="楷体_GB2312"/>
          <w:color w:val="auto"/>
          <w:sz w:val="28"/>
          <w:szCs w:val="28"/>
        </w:rPr>
      </w:pPr>
      <w:r>
        <w:rPr>
          <w:rFonts w:hint="default" w:ascii="楷体_GB2312" w:hAnsi="宋体" w:eastAsia="楷体_GB2312"/>
          <w:color w:val="auto"/>
          <w:sz w:val="28"/>
          <w:szCs w:val="28"/>
        </w:rPr>
        <w:t>以自然教育、森林康养为重点，</w:t>
      </w:r>
      <w:r>
        <w:rPr>
          <w:rFonts w:hint="eastAsia" w:ascii="楷体_GB2312" w:hAnsi="宋体" w:eastAsia="楷体_GB2312"/>
          <w:color w:val="auto"/>
          <w:sz w:val="28"/>
          <w:szCs w:val="28"/>
        </w:rPr>
        <w:t>诠释森林生态文化，开发出具有互动性、实践性、参与性的森林生态旅游项目，是游客能够在游览森林公园的过程中寓教于乐，</w:t>
      </w:r>
      <w:r>
        <w:rPr>
          <w:rFonts w:hint="default" w:ascii="楷体_GB2312" w:hAnsi="宋体" w:eastAsia="楷体_GB2312"/>
          <w:color w:val="auto"/>
          <w:sz w:val="28"/>
          <w:szCs w:val="28"/>
        </w:rPr>
        <w:t>修养身心满足</w:t>
      </w:r>
      <w:r>
        <w:rPr>
          <w:rFonts w:hint="eastAsia" w:ascii="楷体_GB2312" w:hAnsi="宋体" w:eastAsia="楷体_GB2312"/>
          <w:color w:val="auto"/>
          <w:sz w:val="28"/>
          <w:szCs w:val="28"/>
        </w:rPr>
        <w:t>不同游客的游览需求。</w:t>
      </w:r>
    </w:p>
    <w:p>
      <w:pPr>
        <w:snapToGrid w:val="0"/>
        <w:spacing w:line="470" w:lineRule="atLeas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在生态旅游项目的开发过程中应体现森林的康体养生功能，使人们对森林公园的认识更加深入，增加森林公园的吸引力。</w:t>
      </w:r>
    </w:p>
    <w:p>
      <w:pPr>
        <w:bidi w:val="0"/>
        <w:rPr>
          <w:rFonts w:hint="eastAsia" w:ascii="楷体" w:hAnsi="楷体" w:eastAsia="楷体" w:cs="楷体"/>
          <w:b/>
          <w:bCs/>
          <w:color w:val="auto"/>
        </w:rPr>
      </w:pPr>
      <w:bookmarkStart w:id="7" w:name="_Toc361294385"/>
      <w:r>
        <w:rPr>
          <w:rFonts w:hint="eastAsia" w:ascii="楷体" w:hAnsi="楷体" w:eastAsia="楷体" w:cs="楷体"/>
          <w:b/>
          <w:bCs/>
          <w:color w:val="auto"/>
        </w:rPr>
        <w:t>（四）维护好中心网站，健全我国森林公园的信息化和共享服务</w:t>
      </w:r>
      <w:bookmarkEnd w:id="7"/>
      <w:r>
        <w:rPr>
          <w:rFonts w:hint="eastAsia" w:ascii="楷体" w:hAnsi="楷体" w:eastAsia="楷体" w:cs="楷体"/>
          <w:b/>
          <w:bCs/>
          <w:color w:val="auto"/>
        </w:rPr>
        <w:t>制度</w:t>
      </w:r>
    </w:p>
    <w:p>
      <w:pPr>
        <w:snapToGrid w:val="0"/>
        <w:spacing w:line="470" w:lineRule="atLeas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重点建设内容丰富和更新及时的森林公园工程技术研究中心网站，大力提升我国森林公园的信息化服务水平；建立和完善重要仪器设备资源共建、共享机制，提高本中心的共享服务能力，实行全方位的开放共享服务，全年仪器使用人时数超过5000，仪器使用率达到95%以上，每年5个开放性课题在本中心实施完成。</w:t>
      </w:r>
    </w:p>
    <w:p>
      <w:pPr>
        <w:bidi w:val="0"/>
        <w:rPr>
          <w:rFonts w:hint="eastAsia" w:ascii="楷体" w:hAnsi="楷体" w:eastAsia="楷体" w:cs="楷体"/>
          <w:b/>
          <w:bCs/>
          <w:color w:val="auto"/>
        </w:rPr>
      </w:pPr>
      <w:bookmarkStart w:id="8" w:name="_Toc361294386"/>
      <w:r>
        <w:rPr>
          <w:rFonts w:hint="eastAsia" w:ascii="楷体" w:hAnsi="楷体" w:eastAsia="楷体" w:cs="楷体"/>
          <w:b/>
          <w:bCs/>
          <w:color w:val="auto"/>
        </w:rPr>
        <w:t>（五）发挥中心科技人才优势，做好森林公园专业经营管理人才</w:t>
      </w:r>
      <w:bookmarkEnd w:id="8"/>
      <w:r>
        <w:rPr>
          <w:rFonts w:hint="eastAsia" w:ascii="楷体" w:hAnsi="楷体" w:eastAsia="楷体" w:cs="楷体"/>
          <w:b/>
          <w:bCs/>
          <w:color w:val="auto"/>
        </w:rPr>
        <w:t>培训工作</w:t>
      </w:r>
    </w:p>
    <w:p>
      <w:pPr>
        <w:snapToGrid w:val="0"/>
        <w:spacing w:line="470" w:lineRule="atLeas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以本研究中心为平台，发挥本中心的科技人才优势，每年为我国森林公园行业培养博士、硕士研究生3-5人，为我国森林公园的基础研究和经营管理源源不断地输送高级人才，成为高级林业科技人才的培养基地；定期举办森林公园新成果和新技术推广应用全国性培训班，每年辐射培训各类森林公园管理技术骨干500人以上，进一步提升森林公园技术骨干的整体素质；为全国森林公园提供技术咨询与工程化开发服务，组织专家到现场指导，解决森林公园在建设和发展过程中存在的重大实际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5D71"/>
    <w:multiLevelType w:val="singleLevel"/>
    <w:tmpl w:val="5F2F5D71"/>
    <w:lvl w:ilvl="0" w:tentative="0">
      <w:start w:val="2"/>
      <w:numFmt w:val="chineseCounting"/>
      <w:suff w:val="space"/>
      <w:lvlText w:val="第%1章"/>
      <w:lvlJc w:val="left"/>
    </w:lvl>
  </w:abstractNum>
  <w:abstractNum w:abstractNumId="1">
    <w:nsid w:val="5F2F65C8"/>
    <w:multiLevelType w:val="singleLevel"/>
    <w:tmpl w:val="5F2F65C8"/>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80A30"/>
    <w:rsid w:val="0ECC4A9F"/>
    <w:rsid w:val="3968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00" w:firstLineChars="200"/>
      <w:jc w:val="both"/>
    </w:pPr>
    <w:rPr>
      <w:rFonts w:ascii="Calibri" w:hAnsi="Calibri" w:eastAsia="仿宋" w:cs="Times New Roman"/>
      <w:kern w:val="2"/>
      <w:sz w:val="28"/>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黑体"/>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2020-08-10T09:00:00Z</dcterms:created>
  <dc:creator>Administrator</dc:creator>
  <cp:lastModifiedBy>Administrator</cp:lastModifiedBy>
  <dcterms:modified xsi:type="dcterms:W3CDTF">2020-08-10T09:22:24Z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