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color w:val="auto"/>
          <w:lang w:val="en-US" w:eastAsia="zh-CN"/>
        </w:rPr>
      </w:pPr>
      <w:bookmarkStart w:id="0" w:name="_Toc26095"/>
      <w:bookmarkStart w:id="1" w:name="_Toc1978"/>
      <w:bookmarkStart w:id="2" w:name="_Toc27469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国家林业局森林公园工程技术研究中心</w:t>
      </w:r>
      <w:bookmarkEnd w:id="0"/>
      <w:bookmarkEnd w:id="1"/>
      <w:bookmarkEnd w:id="2"/>
      <w:bookmarkStart w:id="3" w:name="_Toc23082"/>
      <w:bookmarkStart w:id="4" w:name="_Toc28001"/>
    </w:p>
    <w:p>
      <w:pPr>
        <w:pStyle w:val="2"/>
        <w:bidi w:val="0"/>
        <w:rPr>
          <w:color w:val="auto"/>
        </w:rPr>
      </w:pPr>
      <w:bookmarkStart w:id="5" w:name="_Toc16905"/>
      <w:bookmarkStart w:id="6" w:name="_Toc32021"/>
      <w:bookmarkStart w:id="7" w:name="_Toc10497"/>
      <w:r>
        <w:rPr>
          <w:rFonts w:hint="eastAsia"/>
          <w:color w:val="auto"/>
          <w:lang w:val="en-US" w:eastAsia="zh-CN"/>
        </w:rPr>
        <w:t>仪器设备管理和使用办法（暂行）</w:t>
      </w:r>
      <w:bookmarkEnd w:id="3"/>
      <w:bookmarkEnd w:id="4"/>
      <w:bookmarkEnd w:id="5"/>
      <w:bookmarkEnd w:id="6"/>
      <w:bookmarkEnd w:id="7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57"/>
        <w:jc w:val="center"/>
        <w:rPr>
          <w:rStyle w:val="6"/>
          <w:rFonts w:hint="default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第一章 总则</w:t>
      </w:r>
      <w:bookmarkStart w:id="18" w:name="_GoBack"/>
      <w:bookmarkEnd w:id="18"/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第一条 </w:t>
      </w:r>
      <w:r>
        <w:rPr>
          <w:rFonts w:hint="eastAsia" w:ascii="楷体" w:hAnsi="楷体" w:eastAsia="楷体" w:cs="楷体"/>
          <w:color w:val="auto"/>
          <w:lang w:val="sq-AL"/>
        </w:rPr>
        <w:t>为提高仪器的完好率、利用率，使本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仪器设备能更好地为科研工作提供服务，特制定本办法。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第二条 </w:t>
      </w:r>
      <w:r>
        <w:rPr>
          <w:rFonts w:hint="eastAsia" w:ascii="楷体" w:hAnsi="楷体" w:eastAsia="楷体" w:cs="楷体"/>
          <w:color w:val="auto"/>
          <w:lang w:val="sq-AL"/>
        </w:rPr>
        <w:t>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仪器设备包括由本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自有经费、依托单位支持的设备经费及本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出面争取到的其它经费所购置的仪器设备。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第三条 </w:t>
      </w:r>
      <w:r>
        <w:rPr>
          <w:rFonts w:hint="eastAsia" w:ascii="楷体" w:hAnsi="楷体" w:eastAsia="楷体" w:cs="楷体"/>
          <w:color w:val="auto"/>
          <w:lang w:val="sq-AL"/>
        </w:rPr>
        <w:t>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研究人员、技术人员、客座人员及</w:t>
      </w:r>
      <w:r>
        <w:rPr>
          <w:rFonts w:hint="eastAsia" w:ascii="楷体" w:hAnsi="楷体" w:eastAsia="楷体" w:cs="楷体"/>
          <w:color w:val="auto"/>
          <w:lang w:val="sq-AL" w:eastAsia="zh-CN"/>
        </w:rPr>
        <w:t>研究中心</w:t>
      </w:r>
      <w:r>
        <w:rPr>
          <w:rFonts w:hint="eastAsia" w:ascii="楷体" w:hAnsi="楷体" w:eastAsia="楷体" w:cs="楷体"/>
          <w:color w:val="auto"/>
          <w:lang w:val="sq-AL"/>
        </w:rPr>
        <w:t>所属研究生均可免费使用本室仪器设备。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57"/>
        <w:jc w:val="center"/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sq-AL" w:eastAsia="zh-CN"/>
        </w:rPr>
      </w:pPr>
      <w:bookmarkStart w:id="8" w:name="_Toc12584"/>
      <w:bookmarkStart w:id="9" w:name="_Toc17735"/>
      <w:r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第二章 仪器设备分类</w:t>
      </w:r>
      <w:bookmarkEnd w:id="8"/>
      <w:bookmarkEnd w:id="9"/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第四条 </w:t>
      </w:r>
      <w:r>
        <w:rPr>
          <w:rFonts w:hint="eastAsia" w:ascii="楷体" w:hAnsi="楷体" w:eastAsia="楷体" w:cs="楷体"/>
          <w:color w:val="auto"/>
          <w:lang w:val="sq-AL"/>
        </w:rPr>
        <w:t>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仪器设备分专用与通用两类，专用仪器设备是指仅由一个课题方向使用的仪器设备，通用仪器设备是指由两个以上(包括两个)课题方向共用的仪器设备。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第五条 </w:t>
      </w:r>
      <w:r>
        <w:rPr>
          <w:rFonts w:hint="eastAsia" w:ascii="楷体" w:hAnsi="楷体" w:eastAsia="楷体" w:cs="楷体"/>
          <w:color w:val="auto"/>
          <w:lang w:val="sq-AL"/>
        </w:rPr>
        <w:t>专用仪器设备原则上配置在各课题组</w:t>
      </w:r>
      <w:r>
        <w:rPr>
          <w:rFonts w:hint="eastAsia" w:ascii="楷体" w:hAnsi="楷体" w:eastAsia="楷体" w:cs="楷体"/>
          <w:color w:val="auto"/>
          <w:lang w:val="sq-AL" w:eastAsia="zh-CN"/>
        </w:rPr>
        <w:t>研究中心</w:t>
      </w:r>
      <w:r>
        <w:rPr>
          <w:rFonts w:hint="eastAsia" w:ascii="楷体" w:hAnsi="楷体" w:eastAsia="楷体" w:cs="楷体"/>
          <w:color w:val="auto"/>
          <w:lang w:val="sq-AL"/>
        </w:rPr>
        <w:t>，由课题组负责管理、使用和维护。通用仪器设备原则上配置在公共仪器室，由本室指定专人负责管理、使用和维护。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第六条 </w:t>
      </w:r>
      <w:r>
        <w:rPr>
          <w:rFonts w:hint="eastAsia" w:ascii="楷体" w:hAnsi="楷体" w:eastAsia="楷体" w:cs="楷体"/>
          <w:color w:val="auto"/>
          <w:lang w:val="sq-AL"/>
        </w:rPr>
        <w:t>本室仪器设备由本室统一组织采购。专用仪器设备验收以课题组为主，通用仪器设备验收以本室为主。课题组应为专用仪器设备建立技术档案，包括：说明书、安装调试验收报告、仪器零配件和维护记录等，办理固定资产登记后，及时将专用仪器设备目录交本室备案汇总。本室指定专人为通用仪器设备建立技术档案。仪器设备原版说明书（含光盘）一般归入档案，日常使用复印件（复制光盘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57"/>
        <w:jc w:val="center"/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sq-AL" w:eastAsia="zh-CN"/>
        </w:rPr>
      </w:pPr>
      <w:bookmarkStart w:id="10" w:name="_Toc20711"/>
      <w:bookmarkStart w:id="11" w:name="_Toc10639"/>
      <w:r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第三章 仪器设备的使用和维护</w:t>
      </w:r>
      <w:bookmarkEnd w:id="10"/>
      <w:bookmarkEnd w:id="11"/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第七条 </w:t>
      </w:r>
      <w:r>
        <w:rPr>
          <w:rFonts w:hint="eastAsia" w:ascii="楷体" w:hAnsi="楷体" w:eastAsia="楷体" w:cs="楷体"/>
          <w:color w:val="auto"/>
          <w:lang w:val="sq-AL"/>
        </w:rPr>
        <w:t>仪器设备投入使用后，由相应的仪器管理人员制定操作、保养、校正的标准规程，并督促其他使用者按规程操作。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第八条 </w:t>
      </w:r>
      <w:r>
        <w:rPr>
          <w:rFonts w:hint="eastAsia" w:ascii="楷体" w:hAnsi="楷体" w:eastAsia="楷体" w:cs="楷体"/>
          <w:color w:val="auto"/>
          <w:lang w:val="sq-AL"/>
        </w:rPr>
        <w:t>仪器设备的使用实行操作培训制度，仪器管理人员（实验员）必须经过系统培训学习，培训合格后方可上岗。仪器管理人员（实验员）每年须接受相关的培训学习。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第九条 </w:t>
      </w:r>
      <w:r>
        <w:rPr>
          <w:rFonts w:hint="eastAsia" w:ascii="楷体" w:hAnsi="楷体" w:eastAsia="楷体" w:cs="楷体"/>
          <w:color w:val="auto"/>
          <w:lang w:val="sq-AL"/>
        </w:rPr>
        <w:t>仪器设备配备有专职实验员的，原则上由专职实验员操作。其他人员使用仪器设备必须经过仪器管理人员（实验员）的培训指导，认真阅读使用说明书和操作规程，并自觉严格遵守相关规定，使用完毕后应恢复仪器设备初始状态，完成清洁卫生工作，并登记使用记录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第十条 </w:t>
      </w:r>
      <w:r>
        <w:rPr>
          <w:rFonts w:hint="eastAsia" w:ascii="楷体" w:hAnsi="楷体" w:eastAsia="楷体" w:cs="楷体"/>
          <w:color w:val="auto"/>
          <w:lang w:val="sq-AL"/>
        </w:rPr>
        <w:t>仪器设备出现异常或故障，应立即停止使用，并及时报告仪器管理人员，禁止随意调试。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第十一条 </w:t>
      </w:r>
      <w:r>
        <w:rPr>
          <w:rFonts w:hint="eastAsia" w:ascii="楷体" w:hAnsi="楷体" w:eastAsia="楷体" w:cs="楷体"/>
          <w:color w:val="auto"/>
          <w:lang w:val="sq-AL"/>
        </w:rPr>
        <w:t>使用者必须尊重和维护仪器设备内的知识产权，不得复制他人测试数据和仪器配置软件。任何人员不得擅自改动已有的软件系统或使用自带的移动存储器，不得擅自拆装仪器设备或改变结构，不得擅自与其它仪器联用或联网，不得在联有仪器设备的计算机上进行与实验无关的操作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第十二条 </w:t>
      </w:r>
      <w:r>
        <w:rPr>
          <w:rFonts w:hint="eastAsia" w:ascii="楷体" w:hAnsi="楷体" w:eastAsia="楷体" w:cs="楷体"/>
          <w:color w:val="auto"/>
          <w:lang w:val="sq-AL"/>
        </w:rPr>
        <w:t>使用者如违反仪器设备的操作规程和有关规定，仪器管理人员应予以纠正，对不听从劝告者，有权终止其使用资格。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第十三条 </w:t>
      </w:r>
      <w:r>
        <w:rPr>
          <w:rFonts w:hint="eastAsia" w:ascii="楷体" w:hAnsi="楷体" w:eastAsia="楷体" w:cs="楷体"/>
          <w:color w:val="auto"/>
          <w:lang w:val="sq-AL"/>
        </w:rPr>
        <w:t>小型仪器设备做到随时保养和维修，大型仪器设备要做到定期检测、保养和标定。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57"/>
        <w:jc w:val="center"/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sq-AL" w:eastAsia="zh-CN"/>
        </w:rPr>
      </w:pPr>
      <w:bookmarkStart w:id="12" w:name="_Toc19762"/>
      <w:bookmarkStart w:id="13" w:name="_Toc17857"/>
      <w:r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第四章 大型、精密仪器设备的使用和维护</w:t>
      </w:r>
      <w:bookmarkEnd w:id="12"/>
      <w:bookmarkEnd w:id="13"/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第十四条 </w:t>
      </w:r>
      <w:r>
        <w:rPr>
          <w:rFonts w:hint="eastAsia" w:ascii="楷体" w:hAnsi="楷体" w:eastAsia="楷体" w:cs="楷体"/>
          <w:color w:val="auto"/>
          <w:lang w:val="sq-AL"/>
        </w:rPr>
        <w:t>购置价格超过10万元以上的大型、精密仪器设备，原则上实行由本室集中管理，指定专人管理、使用和维护。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第十五条 </w:t>
      </w:r>
      <w:r>
        <w:rPr>
          <w:rFonts w:hint="eastAsia" w:ascii="楷体" w:hAnsi="楷体" w:eastAsia="楷体" w:cs="楷体"/>
          <w:color w:val="auto"/>
          <w:lang w:val="sq-AL"/>
        </w:rPr>
        <w:t>大型、精密仪器设备由仪器管理人员（实验员）建立技术档案，包括：验收记录、随机的装箱单、合格证、使用说明书，图纸、保修单等技术资料。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第十六条 </w:t>
      </w:r>
      <w:r>
        <w:rPr>
          <w:rFonts w:hint="eastAsia" w:ascii="楷体" w:hAnsi="楷体" w:eastAsia="楷体" w:cs="楷体"/>
          <w:color w:val="auto"/>
          <w:lang w:val="sq-AL"/>
        </w:rPr>
        <w:t>大型、精密仪器设备一律挂牌，标明使用责任人、主要技术参数、使用流程、安全操作规范。摆放在醒目位置，并严格执行。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第十七条 </w:t>
      </w:r>
      <w:r>
        <w:rPr>
          <w:rFonts w:hint="eastAsia" w:ascii="楷体" w:hAnsi="楷体" w:eastAsia="楷体" w:cs="楷体"/>
          <w:color w:val="auto"/>
          <w:lang w:val="sq-AL"/>
        </w:rPr>
        <w:t>大型、精密仪器设备使用实行预约制。在本室优先的基础上，使用顺序按申请者提交预约或申请的先后顺序决定。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第十八条 </w:t>
      </w:r>
      <w:r>
        <w:rPr>
          <w:rFonts w:hint="eastAsia" w:ascii="楷体" w:hAnsi="楷体" w:eastAsia="楷体" w:cs="楷体"/>
          <w:color w:val="auto"/>
          <w:lang w:val="sq-AL"/>
        </w:rPr>
        <w:t>大型、精密仪器设备实行培训使用和专人使用两种形式。对操作较为简单的大型、精密仪器，使用者需经过专业培训，考核合格后方可独立操作；对特别贵重和操作复杂的仪器设备，由本室专职实验员操作使用。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第十九条 </w:t>
      </w:r>
      <w:r>
        <w:rPr>
          <w:rFonts w:hint="eastAsia" w:ascii="楷体" w:hAnsi="楷体" w:eastAsia="楷体" w:cs="楷体"/>
          <w:color w:val="auto"/>
          <w:lang w:val="sq-AL"/>
        </w:rPr>
        <w:t>仪器管理人员（实验员）须定期检查大型、精密仪器设备存放环境要求，要做到：防光、防震、防潮、防鼠、防虫，保证仪器设备处于安全状态。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57"/>
        <w:jc w:val="center"/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sq-AL" w:eastAsia="zh-CN"/>
        </w:rPr>
      </w:pPr>
      <w:bookmarkStart w:id="14" w:name="_Toc507"/>
      <w:bookmarkStart w:id="15" w:name="_Toc30701"/>
      <w:r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第五章 仪器设备共享</w:t>
      </w:r>
      <w:bookmarkEnd w:id="14"/>
      <w:bookmarkEnd w:id="15"/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第二十条 </w:t>
      </w:r>
      <w:r>
        <w:rPr>
          <w:rFonts w:hint="eastAsia" w:ascii="楷体" w:hAnsi="楷体" w:eastAsia="楷体" w:cs="楷体"/>
          <w:color w:val="auto"/>
          <w:lang w:val="sq-AL"/>
        </w:rPr>
        <w:t>本室仪器设备以完成本室科研任务为优先，适当参加校际和地区有偿共享服务。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第二十一条 </w:t>
      </w:r>
      <w:r>
        <w:rPr>
          <w:rFonts w:hint="eastAsia" w:ascii="楷体" w:hAnsi="楷体" w:eastAsia="楷体" w:cs="楷体"/>
          <w:color w:val="auto"/>
          <w:lang w:val="sq-AL"/>
        </w:rPr>
        <w:t>共享使用费科目和标准按照学校现行办法执行。专用仪器设备因共享而收取的使用费由本室统一支配，并支付课题组相应的共享成本费。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第二十二条 </w:t>
      </w:r>
      <w:r>
        <w:rPr>
          <w:rFonts w:hint="eastAsia" w:ascii="楷体" w:hAnsi="楷体" w:eastAsia="楷体" w:cs="楷体"/>
          <w:color w:val="auto"/>
          <w:lang w:val="sq-AL"/>
        </w:rPr>
        <w:t>仪器设备共享使用申请程序：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sq-AL"/>
        </w:rPr>
        <w:t>（1）向本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提交申请，本室安排使用时间；如需使用由本室实验员专人操作的仪器设备，需说明技术服务内容及实验细节。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sq-AL"/>
        </w:rPr>
        <w:t>（2）仪器设备使用完毕后，本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核算使用费，向服务对象发放缴款通知单。</w:t>
      </w:r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sq-AL"/>
        </w:rPr>
        <w:t>（3）服务对象到校财务缴费，凭缴款证明获取相关实验数据。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57"/>
        <w:jc w:val="center"/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sq-AL" w:eastAsia="zh-CN"/>
        </w:rPr>
      </w:pPr>
      <w:bookmarkStart w:id="16" w:name="_Toc16983"/>
      <w:bookmarkStart w:id="17" w:name="_Toc5898"/>
      <w:r>
        <w:rPr>
          <w:rStyle w:val="6"/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第六章 附则</w:t>
      </w:r>
      <w:bookmarkEnd w:id="16"/>
      <w:bookmarkEnd w:id="17"/>
    </w:p>
    <w:p>
      <w:pPr>
        <w:bidi w:val="0"/>
        <w:rPr>
          <w:rFonts w:hint="eastAsia" w:ascii="楷体" w:hAnsi="楷体" w:eastAsia="楷体" w:cs="楷体"/>
          <w:color w:val="auto"/>
          <w:lang w:val="sq-AL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第二十三条 </w:t>
      </w:r>
      <w:r>
        <w:rPr>
          <w:rFonts w:hint="eastAsia" w:ascii="楷体" w:hAnsi="楷体" w:eastAsia="楷体" w:cs="楷体"/>
          <w:color w:val="auto"/>
          <w:lang w:val="sq-AL"/>
        </w:rPr>
        <w:t>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仪器设备报废一律由本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统一报出。专有仪器的报废由课题组先向本</w:t>
      </w:r>
      <w:r>
        <w:rPr>
          <w:rFonts w:hint="eastAsia" w:ascii="楷体" w:hAnsi="楷体" w:eastAsia="楷体" w:cs="楷体"/>
          <w:color w:val="auto"/>
          <w:lang w:val="en-US" w:eastAsia="zh-CN"/>
        </w:rPr>
        <w:t>中心</w:t>
      </w:r>
      <w:r>
        <w:rPr>
          <w:rFonts w:hint="eastAsia" w:ascii="楷体" w:hAnsi="楷体" w:eastAsia="楷体" w:cs="楷体"/>
          <w:color w:val="auto"/>
          <w:lang w:val="sq-AL"/>
        </w:rPr>
        <w:t>提出。设备报损和赔偿等规定均按学校现行办法执行。</w:t>
      </w:r>
    </w:p>
    <w:p>
      <w:pPr>
        <w:bidi w:val="0"/>
        <w:rPr>
          <w:rFonts w:hint="eastAsia" w:ascii="楷体" w:hAnsi="楷体" w:eastAsia="楷体" w:cs="楷体"/>
          <w:color w:val="auto"/>
          <w:lang w:val="sq-AL" w:eastAsia="zh-CN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 xml:space="preserve">第二十四条 </w:t>
      </w:r>
      <w:r>
        <w:rPr>
          <w:rFonts w:hint="eastAsia" w:ascii="楷体" w:hAnsi="楷体" w:eastAsia="楷体" w:cs="楷体"/>
          <w:color w:val="auto"/>
          <w:lang w:val="sq-AL"/>
        </w:rPr>
        <w:t>本办法由</w:t>
      </w:r>
      <w:r>
        <w:rPr>
          <w:rFonts w:hint="eastAsia" w:ascii="楷体" w:hAnsi="楷体" w:eastAsia="楷体" w:cs="楷体"/>
          <w:color w:val="auto"/>
          <w:lang w:val="sq-AL" w:eastAsia="zh-CN"/>
        </w:rPr>
        <w:t>国家林业局森林公园工程技术研究中心</w:t>
      </w:r>
      <w:r>
        <w:rPr>
          <w:rFonts w:hint="eastAsia" w:ascii="楷体" w:hAnsi="楷体" w:eastAsia="楷体" w:cs="楷体"/>
          <w:color w:val="auto"/>
          <w:lang w:val="sq-AL"/>
        </w:rPr>
        <w:t>负责解释，自颁布之日起施行</w:t>
      </w:r>
      <w:r>
        <w:rPr>
          <w:rFonts w:hint="eastAsia" w:ascii="楷体" w:hAnsi="楷体" w:eastAsia="楷体" w:cs="楷体"/>
          <w:color w:val="auto"/>
          <w:lang w:val="sq-AL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6991"/>
    <w:rsid w:val="26943B3C"/>
    <w:rsid w:val="492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00" w:firstLineChars="200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2020-08-10T09:05:00Z</dcterms:created>
  <dc:creator>Administrator</dc:creator>
  <lastModifiedBy>Administrator</lastModifiedBy>
  <dcterms:modified xsi:type="dcterms:W3CDTF">2020-08-10T09:13:42Z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